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77777777" w:rsidR="004F4D91" w:rsidRDefault="004F4D91" w:rsidP="004F4D91">
      <w:pPr>
        <w:widowControl w:val="0"/>
        <w:autoSpaceDE w:val="0"/>
        <w:autoSpaceDN w:val="0"/>
        <w:adjustRightInd w:val="0"/>
        <w:rPr>
          <w:rFonts w:cs="Times"/>
          <w:b/>
          <w:bCs/>
        </w:rPr>
      </w:pPr>
      <w:bookmarkStart w:id="0" w:name="_GoBack"/>
      <w:bookmarkEnd w:id="0"/>
      <w:r>
        <w:rPr>
          <w:b/>
          <w:bCs/>
        </w:rPr>
        <w:t>POUR DIFFUSION IMMÉDIATE</w:t>
      </w:r>
      <w:r>
        <w:rPr>
          <w:b/>
          <w:bCs/>
        </w:rPr>
        <w:tab/>
      </w:r>
      <w:r>
        <w:rPr>
          <w:b/>
          <w:bCs/>
        </w:rPr>
        <w:tab/>
      </w:r>
      <w:r>
        <w:rPr>
          <w:b/>
          <w:bCs/>
        </w:rPr>
        <w:tab/>
        <w:t>CONTACT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7D87CAF8" w14:textId="5E9B138D" w:rsidR="004F4D91" w:rsidRPr="00E85C9A" w:rsidRDefault="004F4D91" w:rsidP="004F4D91">
      <w:pPr>
        <w:widowControl w:val="0"/>
        <w:autoSpaceDE w:val="0"/>
        <w:autoSpaceDN w:val="0"/>
        <w:adjustRightInd w:val="0"/>
        <w:ind w:left="3600" w:firstLine="720"/>
        <w:rPr>
          <w:rFonts w:cs="Times New Roman"/>
          <w:color w:val="FF0000"/>
          <w:lang w:val="de-DE"/>
        </w:rPr>
      </w:pPr>
      <w:r>
        <w:rPr>
          <w:color w:val="FF0000"/>
        </w:rPr>
        <w:tab/>
      </w:r>
      <w:hyperlink r:id="rId8" w:history="1">
        <w:r w:rsidRPr="00E85C9A">
          <w:rPr>
            <w:rStyle w:val="Hyperlink"/>
            <w:lang w:val="de-DE"/>
          </w:rPr>
          <w:t>david.givens@samtec.com</w:t>
        </w:r>
      </w:hyperlink>
    </w:p>
    <w:p w14:paraId="5D828C12" w14:textId="60330544" w:rsidR="004F4D91" w:rsidRPr="00E85C9A" w:rsidRDefault="004F4D91" w:rsidP="004F4D91">
      <w:pPr>
        <w:widowControl w:val="0"/>
        <w:autoSpaceDE w:val="0"/>
        <w:autoSpaceDN w:val="0"/>
        <w:adjustRightInd w:val="0"/>
        <w:ind w:left="3600" w:firstLine="720"/>
        <w:rPr>
          <w:rFonts w:cs="Times"/>
          <w:lang w:val="de-DE"/>
        </w:rPr>
      </w:pPr>
      <w:r w:rsidRPr="00E85C9A">
        <w:rPr>
          <w:color w:val="FF0000"/>
          <w:lang w:val="de-DE"/>
        </w:rPr>
        <w:tab/>
      </w:r>
      <w:r w:rsidRPr="00E85C9A">
        <w:rPr>
          <w:lang w:val="de-DE"/>
        </w:rPr>
        <w:t>717-818-5759</w:t>
      </w:r>
    </w:p>
    <w:p w14:paraId="399D6405" w14:textId="77777777" w:rsidR="004F4D91" w:rsidRPr="003C3E9F" w:rsidRDefault="004F4D91" w:rsidP="00722338">
      <w:pPr>
        <w:rPr>
          <w:b/>
          <w:lang w:val="es-CO"/>
        </w:rPr>
      </w:pPr>
    </w:p>
    <w:p w14:paraId="4574FAC2" w14:textId="4E18031F" w:rsidR="00722338" w:rsidRPr="00E85C9A" w:rsidRDefault="00722338" w:rsidP="00927277">
      <w:pPr>
        <w:rPr>
          <w:b/>
          <w:lang w:val="de-DE"/>
        </w:rPr>
      </w:pPr>
      <w:r w:rsidRPr="00E85C9A">
        <w:rPr>
          <w:b/>
          <w:lang w:val="de-DE"/>
        </w:rPr>
        <w:t>[LOGO SAMTEC]</w:t>
      </w:r>
      <w:r w:rsidRPr="00E85C9A">
        <w:rPr>
          <w:b/>
          <w:lang w:val="de-DE"/>
        </w:rPr>
        <w:tab/>
      </w:r>
      <w:r w:rsidRPr="00E85C9A">
        <w:rPr>
          <w:b/>
          <w:lang w:val="de-DE"/>
        </w:rPr>
        <w:tab/>
      </w:r>
      <w:r w:rsidRPr="00E85C9A">
        <w:rPr>
          <w:b/>
          <w:lang w:val="de-DE"/>
        </w:rPr>
        <w:tab/>
      </w:r>
      <w:r w:rsidRPr="00E85C9A">
        <w:rPr>
          <w:b/>
          <w:lang w:val="de-DE"/>
        </w:rPr>
        <w:tab/>
      </w:r>
      <w:r w:rsidRPr="00E85C9A">
        <w:rPr>
          <w:b/>
          <w:lang w:val="de-DE"/>
        </w:rPr>
        <w:tab/>
        <w:t>Mai 2018</w:t>
      </w:r>
    </w:p>
    <w:p w14:paraId="33C4C655" w14:textId="77777777" w:rsidR="00722338" w:rsidRPr="003C3E9F" w:rsidRDefault="00722338" w:rsidP="002D3D34">
      <w:pPr>
        <w:rPr>
          <w:lang w:val="es-CO"/>
        </w:rPr>
      </w:pPr>
    </w:p>
    <w:p w14:paraId="3D0D7E90" w14:textId="114EBC4A" w:rsidR="00F123D0" w:rsidRPr="00FF3709" w:rsidRDefault="00F123D0" w:rsidP="00F123D0">
      <w:pPr>
        <w:jc w:val="center"/>
        <w:rPr>
          <w:rFonts w:cs="Arial"/>
          <w:b/>
          <w:shd w:val="clear" w:color="auto" w:fill="FFFFFF"/>
        </w:rPr>
      </w:pPr>
      <w:r>
        <w:rPr>
          <w:b/>
        </w:rPr>
        <w:t>Samtec annonce la commercialisation de nouveaux produits conformes à la norme VNX VITA 74</w:t>
      </w:r>
    </w:p>
    <w:p w14:paraId="49BD2637" w14:textId="77777777" w:rsidR="00F123D0" w:rsidRPr="00FF3709" w:rsidRDefault="00F123D0" w:rsidP="00F123D0">
      <w:pPr>
        <w:jc w:val="center"/>
        <w:rPr>
          <w:rFonts w:cs="Arial"/>
          <w:b/>
          <w:shd w:val="clear" w:color="auto" w:fill="FFFFFF"/>
        </w:rPr>
      </w:pPr>
    </w:p>
    <w:p w14:paraId="786FE5E4" w14:textId="38312CDB" w:rsidR="00F123D0" w:rsidRPr="00FF3709" w:rsidRDefault="003C3E9F" w:rsidP="00F123D0">
      <w:pPr>
        <w:jc w:val="center"/>
      </w:pPr>
      <w:r>
        <w:t xml:space="preserve">Les </w:t>
      </w:r>
      <w:r w:rsidR="000A008F">
        <w:t xml:space="preserve">caractéristiques éprouvées des </w:t>
      </w:r>
      <w:r>
        <w:t>connecteurs SEARAY™</w:t>
      </w:r>
      <w:r w:rsidR="000A008F">
        <w:t xml:space="preserve"> </w:t>
      </w:r>
      <w:r>
        <w:t>permettent d’assurer une excellente fiabilité en matière d’intégrité des signaux dans les environnements agressifs</w:t>
      </w:r>
    </w:p>
    <w:p w14:paraId="77D35AD4" w14:textId="77777777" w:rsidR="00F123D0" w:rsidRPr="00F54843" w:rsidRDefault="00F123D0" w:rsidP="00F123D0">
      <w:pPr>
        <w:rPr>
          <w:b/>
        </w:rPr>
      </w:pPr>
    </w:p>
    <w:p w14:paraId="6E62ED1E" w14:textId="28B79A41" w:rsidR="00F123D0" w:rsidRPr="00950642" w:rsidRDefault="00F123D0" w:rsidP="00F123D0">
      <w:pPr>
        <w:rPr>
          <w:rFonts w:cs="Arial"/>
          <w:shd w:val="clear" w:color="auto" w:fill="FFFFFF"/>
        </w:rPr>
      </w:pPr>
      <w:r>
        <w:rPr>
          <w:b/>
          <w:color w:val="000000" w:themeColor="text1"/>
        </w:rPr>
        <w:t>New Albany, Indiana :</w:t>
      </w:r>
      <w:r>
        <w:rPr>
          <w:color w:val="000000" w:themeColor="text1"/>
        </w:rPr>
        <w:t xml:space="preserve"> Membre de l’organisme privé à but non lucratif ANSI/VITA, Samtec, entreprise à capitaux privés qui réalise un chiffre d'affaires de 713 millions de dollars, et fabricant mondial d'une gamme étendue de solutions d'interconnexion pour l'industrie électronique, s’engage résolument dans la commercialisation de la nouvelle norme de format réduit ANSI/VITA 74.0-2017. La norme VITA 74, également appelée VNX, définit à la fois les spécifications mécaniques et électriques nécessaires pour un système à format réduit. </w:t>
      </w:r>
    </w:p>
    <w:p w14:paraId="642F7B54" w14:textId="77777777" w:rsidR="00F123D0" w:rsidRPr="00F123D0" w:rsidRDefault="00F123D0" w:rsidP="00F123D0">
      <w:pPr>
        <w:rPr>
          <w:color w:val="000000" w:themeColor="text1"/>
        </w:rPr>
      </w:pPr>
      <w:r>
        <w:rPr>
          <w:color w:val="000000" w:themeColor="text1"/>
        </w:rPr>
        <w:t xml:space="preserve"> </w:t>
      </w:r>
    </w:p>
    <w:p w14:paraId="0C9B20DB" w14:textId="41EE5E94" w:rsidR="00F123D0" w:rsidRPr="00F123D0" w:rsidRDefault="00F123D0" w:rsidP="00F123D0">
      <w:pPr>
        <w:rPr>
          <w:color w:val="000000" w:themeColor="text1"/>
        </w:rPr>
      </w:pPr>
      <w:r>
        <w:rPr>
          <w:color w:val="000000" w:themeColor="text1"/>
        </w:rPr>
        <w:t>Conçus pour être déployés dans les environnements agressifs, les systèmes VNX permettent des interconnexions série rapides de plateforme avec un format de module additionnel. Ces systèmes sont conformes aux caractéristiques SWaP améliorées (taille, poids, puissance), cruciales dans un appareil embarqué.</w:t>
      </w:r>
    </w:p>
    <w:p w14:paraId="36483525" w14:textId="77777777" w:rsidR="00F123D0" w:rsidRPr="00F123D0" w:rsidRDefault="00F123D0" w:rsidP="00F123D0">
      <w:pPr>
        <w:rPr>
          <w:color w:val="000000" w:themeColor="text1"/>
        </w:rPr>
      </w:pPr>
      <w:r>
        <w:rPr>
          <w:color w:val="000000" w:themeColor="text1"/>
        </w:rPr>
        <w:t xml:space="preserve"> </w:t>
      </w:r>
    </w:p>
    <w:p w14:paraId="0B2BA024" w14:textId="533B7209" w:rsidR="00F123D0" w:rsidRPr="00F123D0" w:rsidRDefault="00F123D0" w:rsidP="00F123D0">
      <w:pPr>
        <w:rPr>
          <w:color w:val="000000" w:themeColor="text1"/>
        </w:rPr>
      </w:pPr>
      <w:r>
        <w:rPr>
          <w:color w:val="000000" w:themeColor="text1"/>
        </w:rPr>
        <w:t>Les connecteurs à angle droit SEARAY™ de Samtec appliquent la norme de base VITA 74, qui définit des modules additionnels empilables de 12,5 mm et 19 mm. Ces connecteurs permettent d’obtenir des vitesses atteignant 25 Gbps, offrent des forces réduites d’insertion/d’extraction et bénéficient de terminaisons avec apport de soudure.  Ce connecteur a été choisi du fait de ses performances en conformité avec la norme VITA 57.1 FMC, mais aussi de ses capacités à grande vitesse et de sa conception renforcée.</w:t>
      </w:r>
    </w:p>
    <w:p w14:paraId="23AB346F" w14:textId="77777777" w:rsidR="00F123D0" w:rsidRPr="00F123D0" w:rsidRDefault="00F123D0" w:rsidP="00F123D0">
      <w:pPr>
        <w:rPr>
          <w:color w:val="000000" w:themeColor="text1"/>
        </w:rPr>
      </w:pPr>
      <w:r>
        <w:rPr>
          <w:color w:val="000000" w:themeColor="text1"/>
        </w:rPr>
        <w:t xml:space="preserve"> </w:t>
      </w:r>
    </w:p>
    <w:p w14:paraId="7A07585E" w14:textId="112BA185" w:rsidR="00F123D0" w:rsidRPr="00F123D0" w:rsidRDefault="00F123D0" w:rsidP="00F123D0">
      <w:pPr>
        <w:rPr>
          <w:color w:val="000000" w:themeColor="text1"/>
        </w:rPr>
      </w:pPr>
      <w:r>
        <w:rPr>
          <w:color w:val="000000" w:themeColor="text1"/>
        </w:rPr>
        <w:t>« La publication de la norme ANSI/VITA 74 VNX apporte aux concepteurs de systèmes la possibilité d’étendre la technologie VPX éprouvée à des dispositifs de dimensions réduites », a indiqué David Givens, directeur des normes. « Avec les connecteurs SEARAY™ éprouvés de Samtec, la norme permet de mettre en œuvre des interconnexions rapides en série pour plateformes, comme les connexions PCI Express</w:t>
      </w:r>
      <w:r>
        <w:rPr>
          <w:color w:val="000000" w:themeColor="text1"/>
          <w:vertAlign w:val="superscript"/>
        </w:rPr>
        <w:t>®</w:t>
      </w:r>
      <w:r>
        <w:rPr>
          <w:color w:val="000000" w:themeColor="text1"/>
        </w:rPr>
        <w:t xml:space="preserve"> de 3</w:t>
      </w:r>
      <w:r>
        <w:rPr>
          <w:color w:val="000000" w:themeColor="text1"/>
          <w:vertAlign w:val="superscript"/>
        </w:rPr>
        <w:t>e</w:t>
      </w:r>
      <w:r>
        <w:rPr>
          <w:color w:val="000000" w:themeColor="text1"/>
        </w:rPr>
        <w:t xml:space="preserve"> génération. Compte tenu des performances exceptionnelles des solutions SEARAY™, la norme est idéalement positionnée pour répondre aux besoins de plateformes de nouvelle génération avec le renforcement de leur </w:t>
      </w:r>
      <w:r w:rsidR="00CC3BD2">
        <w:rPr>
          <w:color w:val="000000" w:themeColor="text1"/>
        </w:rPr>
        <w:t>présence</w:t>
      </w:r>
      <w:r>
        <w:rPr>
          <w:color w:val="000000" w:themeColor="text1"/>
        </w:rPr>
        <w:t xml:space="preserve"> sur le marché des systèmes embarqués renforcés ».</w:t>
      </w:r>
    </w:p>
    <w:p w14:paraId="6D800C64" w14:textId="3F145D0A" w:rsidR="00F123D0" w:rsidRPr="00F123D0" w:rsidRDefault="00F123D0" w:rsidP="00F123D0">
      <w:pPr>
        <w:rPr>
          <w:color w:val="000000" w:themeColor="text1"/>
        </w:rPr>
      </w:pPr>
      <w:r>
        <w:rPr>
          <w:color w:val="000000" w:themeColor="text1"/>
        </w:rPr>
        <w:t xml:space="preserve"> </w:t>
      </w:r>
    </w:p>
    <w:p w14:paraId="79ADA84D" w14:textId="548299C6" w:rsidR="00F123D0" w:rsidRDefault="00F123D0" w:rsidP="00F123D0">
      <w:pPr>
        <w:rPr>
          <w:color w:val="000000" w:themeColor="text1"/>
        </w:rPr>
      </w:pPr>
      <w:r>
        <w:lastRenderedPageBreak/>
        <w:t>Pour en savoir plus sur la gamme complète de solutions de connecteurs à angle droit</w:t>
      </w:r>
      <w:r>
        <w:rPr>
          <w:color w:val="000000" w:themeColor="text1"/>
        </w:rPr>
        <w:t xml:space="preserve"> VITA 74 VNX or SEARAY™ de Samtec, contactez nos experts techniques par e-mail à l’adresse </w:t>
      </w:r>
      <w:hyperlink r:id="rId9" w:history="1">
        <w:r>
          <w:rPr>
            <w:rStyle w:val="Hyperlink"/>
          </w:rPr>
          <w:t>VNX@samtec.com</w:t>
        </w:r>
      </w:hyperlink>
      <w:r>
        <w:rPr>
          <w:color w:val="000000" w:themeColor="text1"/>
        </w:rPr>
        <w:t xml:space="preserve"> ou visitez la page </w:t>
      </w:r>
      <w:hyperlink r:id="rId10" w:history="1">
        <w:r>
          <w:rPr>
            <w:rStyle w:val="Hyperlink"/>
          </w:rPr>
          <w:t>https://www.samtec.com/standards/vita/vnx</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2D18B513" w14:textId="77777777" w:rsidR="00FD145E" w:rsidRDefault="00FD145E" w:rsidP="00F123D0">
      <w:pPr>
        <w:rPr>
          <w:b/>
        </w:rPr>
      </w:pPr>
    </w:p>
    <w:p w14:paraId="649C5768" w14:textId="77777777" w:rsidR="00FD145E" w:rsidRPr="0052726C" w:rsidRDefault="00FD145E" w:rsidP="00FD145E">
      <w:pPr>
        <w:rPr>
          <w:sz w:val="16"/>
          <w:szCs w:val="16"/>
        </w:rPr>
      </w:pPr>
      <w:r>
        <w:rPr>
          <w:sz w:val="16"/>
          <w:szCs w:val="16"/>
        </w:rPr>
        <w:t>PCI-SIG®, PCI Express® et le graphisme PCIe® sont des marques déposées et/ou des marques de service de PCI-SIG.</w:t>
      </w:r>
    </w:p>
    <w:p w14:paraId="6D000F77" w14:textId="77777777" w:rsidR="00FD145E" w:rsidRDefault="00FD145E" w:rsidP="00F123D0">
      <w:pPr>
        <w:rPr>
          <w:b/>
        </w:rPr>
      </w:pPr>
    </w:p>
    <w:p w14:paraId="43F457B4" w14:textId="1DB5545D" w:rsidR="00054FE6" w:rsidRPr="00F123D0" w:rsidRDefault="00D241F2" w:rsidP="00F123D0">
      <w:r>
        <w:rPr>
          <w:b/>
        </w:rPr>
        <w:t xml:space="preserve">À propos de Samtec, Inc. </w:t>
      </w:r>
    </w:p>
    <w:p w14:paraId="613CBA2C" w14:textId="1A1ED838" w:rsidR="00F35A72" w:rsidRPr="00684CCE" w:rsidRDefault="008B6312" w:rsidP="00684CCE">
      <w:pPr>
        <w:spacing w:before="100" w:beforeAutospacing="1" w:after="100" w:afterAutospacing="1"/>
        <w:rPr>
          <w:rFonts w:cs="Arial"/>
          <w:shd w:val="clear" w:color="auto" w:fill="FFFFFF"/>
        </w:rPr>
      </w:pPr>
      <w:r>
        <w:rPr>
          <w:shd w:val="clear" w:color="auto" w:fill="FFFFFF"/>
        </w:rPr>
        <w:t xml:space="preserve">Fondée en 1976, Samtec est une entreprise à capitaux privés qui réalise un chiffre d'affaires de 713 millions de dollars, et fabricant mondial d'une gamme étendue de solutions d'interconnexion pour l'industrie électronique, notamment les dispositifs de connexion CI-carte et de conditionnement de CI, les systèmes mezzanine flexibles et haute vitesse, les composants optiques, les systèmes flexibles d'empilage de cartes, les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18 pays, la présence mondiale de Samtec lui permet d'assurer un service client inégalé. Pour en savoir plus, visitez le site </w:t>
      </w:r>
      <w:r>
        <w:rPr>
          <w:rStyle w:val="apple-converted-space"/>
          <w:shd w:val="clear" w:color="auto" w:fill="FFFFFF"/>
        </w:rPr>
        <w:t> </w:t>
      </w:r>
      <w:hyperlink r:id="rId11" w:history="1">
        <w:r>
          <w:rPr>
            <w:rStyle w:val="Hyperlink"/>
            <w:shd w:val="clear" w:color="auto" w:fill="FFFFFF"/>
          </w:rPr>
          <w:t>http://www.samtec.com</w:t>
        </w:r>
      </w:hyperlink>
      <w:r>
        <w:rPr>
          <w:shd w:val="clear" w:color="auto" w:fill="FFFFFF"/>
        </w:rPr>
        <w:t xml:space="preserve">. </w:t>
      </w:r>
    </w:p>
    <w:p w14:paraId="2C3E5836" w14:textId="49076C8D" w:rsidR="00054FE6" w:rsidRPr="00CC3BD2" w:rsidRDefault="002B5934" w:rsidP="00CB30CF">
      <w:pPr>
        <w:outlineLvl w:val="0"/>
        <w:rPr>
          <w:b/>
          <w:lang w:val="en-US"/>
        </w:rPr>
      </w:pPr>
      <w:r w:rsidRPr="00CC3BD2">
        <w:rPr>
          <w:b/>
          <w:lang w:val="en-US"/>
        </w:rPr>
        <w:t>Samtec, Inc.</w:t>
      </w:r>
    </w:p>
    <w:p w14:paraId="21C4062F" w14:textId="77777777" w:rsidR="00054FE6" w:rsidRPr="00CC3BD2" w:rsidRDefault="006A518D" w:rsidP="00CB30CF">
      <w:pPr>
        <w:outlineLvl w:val="0"/>
        <w:rPr>
          <w:b/>
          <w:lang w:val="en-US"/>
        </w:rPr>
      </w:pPr>
      <w:r w:rsidRPr="00CC3BD2">
        <w:rPr>
          <w:b/>
          <w:lang w:val="en-US"/>
        </w:rPr>
        <w:t>P.O. Box 1147</w:t>
      </w:r>
    </w:p>
    <w:p w14:paraId="75840EE7" w14:textId="77777777" w:rsidR="00054FE6" w:rsidRPr="00CC3BD2" w:rsidRDefault="006A518D" w:rsidP="00CB30CF">
      <w:pPr>
        <w:outlineLvl w:val="0"/>
        <w:rPr>
          <w:b/>
          <w:lang w:val="en-US"/>
        </w:rPr>
      </w:pPr>
      <w:r w:rsidRPr="00CC3BD2">
        <w:rPr>
          <w:b/>
          <w:lang w:val="en-US"/>
        </w:rPr>
        <w:t xml:space="preserve">New Albany, IN 47151-1147 </w:t>
      </w:r>
    </w:p>
    <w:p w14:paraId="1A171281" w14:textId="663CB0AC" w:rsidR="00054FE6" w:rsidRPr="00933A0E" w:rsidRDefault="006A518D" w:rsidP="00CB30CF">
      <w:pPr>
        <w:outlineLvl w:val="0"/>
        <w:rPr>
          <w:b/>
        </w:rPr>
      </w:pPr>
      <w:r>
        <w:rPr>
          <w:b/>
        </w:rPr>
        <w:t xml:space="preserve">USA </w:t>
      </w:r>
    </w:p>
    <w:p w14:paraId="31A3CA67" w14:textId="77777777" w:rsidR="00054FE6" w:rsidRPr="00933A0E" w:rsidRDefault="006A518D" w:rsidP="00CB30CF">
      <w:pPr>
        <w:outlineLvl w:val="0"/>
        <w:rPr>
          <w:b/>
        </w:rPr>
      </w:pPr>
      <w:r>
        <w:rPr>
          <w:b/>
        </w:rPr>
        <w:t>Téléphone : 1-800-SAMTEC-9 (800-726-8329)</w:t>
      </w:r>
    </w:p>
    <w:p w14:paraId="7275819C" w14:textId="428081AB" w:rsidR="001836B4" w:rsidRPr="00933A0E" w:rsidRDefault="00E85C9A" w:rsidP="008F43AA">
      <w:pPr>
        <w:rPr>
          <w:rStyle w:val="Hyperlink"/>
        </w:rPr>
      </w:pPr>
      <w:hyperlink r:id="rId12" w:history="1">
        <w:r w:rsidR="008F16F7">
          <w:rPr>
            <w:rStyle w:val="Hyperlink"/>
          </w:rPr>
          <w:t>www.samtec.com</w:t>
        </w:r>
      </w:hyperlink>
    </w:p>
    <w:p w14:paraId="3248A214" w14:textId="24111A93" w:rsidR="00CE40A0" w:rsidRPr="00933A0E" w:rsidRDefault="00CE40A0" w:rsidP="008F43AA">
      <w:pPr>
        <w:rPr>
          <w:rStyle w:val="Hyperlink"/>
        </w:rPr>
      </w:pPr>
    </w:p>
    <w:p w14:paraId="7BCFD72E" w14:textId="77777777" w:rsidR="00E30771" w:rsidRPr="00933A0E" w:rsidRDefault="00E30771" w:rsidP="008F43AA">
      <w:pPr>
        <w:rPr>
          <w:b/>
        </w:rPr>
      </w:pPr>
    </w:p>
    <w:p w14:paraId="6E38A581" w14:textId="516ED258" w:rsidR="003F252B" w:rsidRPr="00933A0E" w:rsidRDefault="003F252B" w:rsidP="008F43AA">
      <w:pPr>
        <w:rPr>
          <w:b/>
        </w:rPr>
      </w:pPr>
    </w:p>
    <w:p w14:paraId="5E0FE996" w14:textId="77777777" w:rsidR="00C07575" w:rsidRPr="00933A0E" w:rsidRDefault="00C07575" w:rsidP="008F43AA">
      <w:pPr>
        <w:rPr>
          <w:b/>
        </w:rPr>
      </w:pPr>
    </w:p>
    <w:p w14:paraId="23811941" w14:textId="77777777" w:rsidR="00C07575" w:rsidRPr="00933A0E" w:rsidRDefault="00C07575" w:rsidP="008F43AA">
      <w:pPr>
        <w:rPr>
          <w:b/>
        </w:rPr>
      </w:pPr>
    </w:p>
    <w:p w14:paraId="2AB28C76" w14:textId="77777777" w:rsidR="00C07575" w:rsidRPr="00933A0E" w:rsidRDefault="00C07575" w:rsidP="008F43AA">
      <w:pPr>
        <w:rPr>
          <w:b/>
        </w:rPr>
      </w:pPr>
    </w:p>
    <w:p w14:paraId="1EC34709" w14:textId="77777777" w:rsidR="00C07575" w:rsidRPr="00933A0E" w:rsidRDefault="00C07575" w:rsidP="008F43AA">
      <w:pPr>
        <w:rPr>
          <w:b/>
        </w:rPr>
      </w:pPr>
    </w:p>
    <w:p w14:paraId="4488F8A4" w14:textId="77777777" w:rsidR="00C07575" w:rsidRPr="00933A0E" w:rsidRDefault="00C07575" w:rsidP="008F43AA">
      <w:pPr>
        <w:rPr>
          <w:b/>
        </w:rPr>
      </w:pPr>
    </w:p>
    <w:p w14:paraId="55B77349" w14:textId="77777777" w:rsidR="00C07575" w:rsidRPr="00933A0E" w:rsidRDefault="00C07575" w:rsidP="008F43AA">
      <w:pPr>
        <w:rPr>
          <w:b/>
        </w:rPr>
      </w:pPr>
    </w:p>
    <w:p w14:paraId="79CE8AD6" w14:textId="77777777" w:rsidR="00C07575" w:rsidRPr="00933A0E" w:rsidRDefault="00C07575" w:rsidP="008F43AA">
      <w:pPr>
        <w:rPr>
          <w:b/>
        </w:rPr>
      </w:pPr>
    </w:p>
    <w:p w14:paraId="03B13359" w14:textId="77777777" w:rsidR="00C07575" w:rsidRPr="00933A0E" w:rsidRDefault="00C07575" w:rsidP="008F43AA">
      <w:pPr>
        <w:rPr>
          <w:b/>
        </w:rPr>
      </w:pPr>
    </w:p>
    <w:p w14:paraId="400B9DB2" w14:textId="77777777" w:rsidR="00C07575" w:rsidRPr="00933A0E" w:rsidRDefault="00C07575" w:rsidP="008F43AA">
      <w:pPr>
        <w:rPr>
          <w:b/>
        </w:rPr>
      </w:pPr>
    </w:p>
    <w:p w14:paraId="18AD90A1" w14:textId="77777777" w:rsidR="00C07575" w:rsidRPr="00933A0E" w:rsidRDefault="00C07575" w:rsidP="008F43AA">
      <w:pPr>
        <w:rPr>
          <w:b/>
        </w:rPr>
      </w:pPr>
    </w:p>
    <w:p w14:paraId="55923798" w14:textId="77777777" w:rsidR="00C07575" w:rsidRPr="00933A0E" w:rsidRDefault="00C07575" w:rsidP="008F43AA">
      <w:pPr>
        <w:rPr>
          <w:b/>
        </w:rPr>
      </w:pPr>
    </w:p>
    <w:p w14:paraId="656BAA84" w14:textId="77777777" w:rsidR="00C07575" w:rsidRPr="00933A0E" w:rsidRDefault="00C07575" w:rsidP="008F43AA">
      <w:pPr>
        <w:rPr>
          <w:b/>
        </w:rPr>
      </w:pPr>
    </w:p>
    <w:p w14:paraId="0740C871" w14:textId="77777777" w:rsidR="00EA1C21" w:rsidRPr="00933A0E" w:rsidRDefault="00EA1C21" w:rsidP="007C3B42">
      <w:pPr>
        <w:rPr>
          <w:color w:val="000000" w:themeColor="text1"/>
        </w:rPr>
      </w:pPr>
    </w:p>
    <w:sectPr w:rsidR="00EA1C21" w:rsidRPr="00933A0E"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7FDE" w14:textId="77777777" w:rsidR="004A0FCF" w:rsidRDefault="004A0FCF" w:rsidP="00046271">
      <w:r>
        <w:separator/>
      </w:r>
    </w:p>
  </w:endnote>
  <w:endnote w:type="continuationSeparator" w:id="0">
    <w:p w14:paraId="70284B30" w14:textId="77777777" w:rsidR="004A0FCF" w:rsidRDefault="004A0FCF"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06F0" w14:textId="77777777" w:rsidR="004A0FCF" w:rsidRDefault="004A0FCF" w:rsidP="00046271">
      <w:r>
        <w:separator/>
      </w:r>
    </w:p>
  </w:footnote>
  <w:footnote w:type="continuationSeparator" w:id="0">
    <w:p w14:paraId="2B4A3268" w14:textId="77777777" w:rsidR="004A0FCF" w:rsidRDefault="004A0FCF"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gnword-docGUID" w:val="{912D2A49-A1BF-4861-AA76-0AB4DFF95BF8}"/>
    <w:docVar w:name="dgnword-eventsink" w:val="753298616"/>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008F"/>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928EA"/>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A0FCF"/>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2726C"/>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27AD"/>
    <w:rsid w:val="0069339E"/>
    <w:rsid w:val="006A518D"/>
    <w:rsid w:val="006A5A31"/>
    <w:rsid w:val="006B2601"/>
    <w:rsid w:val="006D22C9"/>
    <w:rsid w:val="006D25FB"/>
    <w:rsid w:val="006D2AF9"/>
    <w:rsid w:val="006D4324"/>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16F7"/>
    <w:rsid w:val="008F43AA"/>
    <w:rsid w:val="009042EB"/>
    <w:rsid w:val="00904897"/>
    <w:rsid w:val="00904C90"/>
    <w:rsid w:val="00905FD4"/>
    <w:rsid w:val="00911378"/>
    <w:rsid w:val="00912398"/>
    <w:rsid w:val="009160A1"/>
    <w:rsid w:val="009249C8"/>
    <w:rsid w:val="00925681"/>
    <w:rsid w:val="00926777"/>
    <w:rsid w:val="00927277"/>
    <w:rsid w:val="00933A0E"/>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3BD2"/>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85C9A"/>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Mentionnonrsolue1">
    <w:name w:val="Mention non résolue1"/>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vnx" TargetMode="External"/><Relationship Id="rId4" Type="http://schemas.openxmlformats.org/officeDocument/2006/relationships/settings" Target="settings.xml"/><Relationship Id="rId9" Type="http://schemas.openxmlformats.org/officeDocument/2006/relationships/hyperlink" Target="mailto:VNX@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3025-C62B-46A8-9946-86F4EE6E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2018-04-25T15:10:00Z</dcterms:created>
  <dcterms:modified xsi:type="dcterms:W3CDTF">2018-04-25T15:10:00Z</dcterms:modified>
</cp:coreProperties>
</file>